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52.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47.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January</w:t>
      </w:r>
      <w:r>
        <w:t xml:space="preserve"> </w:t>
      </w:r>
      <w:r>
        <w:t xml:space="preserve">20,</w:t>
      </w:r>
      <w:r>
        <w:t xml:space="preserve"> </w:t>
      </w:r>
      <w:r>
        <w:t xml:space="preserve">2023</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SP</w:t>
      </w:r>
      <w:r>
        <w:t xml:space="preserve"> </w:t>
      </w:r>
      <w:r>
        <w:t xml:space="preserve">were</w:t>
      </w:r>
      <w:r>
        <w:t xml:space="preserve"> </w:t>
      </w:r>
      <w:r>
        <w:t xml:space="preserve">mainly</w:t>
      </w:r>
      <w:r>
        <w:t xml:space="preserve"> </w:t>
      </w:r>
      <w:r>
        <w:t xml:space="preserve">used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was</w:t>
      </w:r>
      <w:r>
        <w:t xml:space="preserve"> </w:t>
      </w:r>
      <w:r>
        <w:t xml:space="preserve">only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functional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likely artifact use</w:t>
      </w:r>
      <w:r>
        <w:t xml:space="preserve"> </w:t>
      </w:r>
      <w:r>
        <w:t xml:space="preserv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to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a few stemmed points that are not symmetrical and have retouch on one side of the artifacts or have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difference between functional classes of projectile armatures such as spearthrower (a.k.a. atlatl) dart tips, un-poisoned arrow tips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 to investigate TCSA values for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 their widest and thickest parts. Our dataset contains stemmed points that were found during field surveys as well as those were from sites that were never dated but were associtaed with other Late Paleoltihic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distinguished the research time period into three based on the major climate event during the Late Pleistocene, Last Glacial Maximum (LGM), and examined the TCSA pattern. We explored the relationship between TCSA values and the location of assemblages by applying eco-regional information.</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and calibrating existing ranges (</w:t>
      </w:r>
      <w:hyperlink w:anchor="tbl-tcsa-ranges">
        <w:r>
          <w:rPr>
            <w:rStyle w:val="Hyperlink"/>
          </w:rPr>
          <w:t xml:space="preserve">Table 1</w:t>
        </w:r>
      </w:hyperlink>
      <w:r>
        <w:t xml:space="preserve">). Among our dataset, we excluded 12 artifacts from our dataset with TCSA greater than 250 and thus outside of the range of the comparative data. For this study we include TCSA values from a total of 161 stemmed points from 33 assemblages unearthed from 25 sites. Each analysis uses slightly different number of artifacts due to data availability.</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with 160 artifacts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We then explored the relationship between weight and raw materials on TCSA values. Excluding points that we were not able to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arranged 26 assemblages dated from 45ka to 14.8ka to explore variation in TCSA over time. Then we divided the artifacts into three groups based on LGM: before LGM, LGM, and after LGM to examine the impact of this major climate event on the material culture.</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artifacts, we combined sites that contains fewer than 5 stemmed points aside and named them as</w:t>
      </w:r>
      <w:r>
        <w:t xml:space="preserve"> </w:t>
      </w:r>
      <w:r>
        <w:t xml:space="preserve">“</w:t>
      </w:r>
      <w:r>
        <w:t xml:space="preserve">Other</w:t>
      </w:r>
      <w:r>
        <w:t xml:space="preserve">”</w:t>
      </w:r>
      <w:r>
        <w:t xml:space="preserve">. We also explored possible environmental impact by connecting stemmed points to the eco-regional zones. We chose two maps of modern eco-regional zones and modified them for this research.</w:t>
      </w:r>
      <w:r>
        <w:t xml:space="preserve"> </w:t>
      </w:r>
      <w:r>
        <w:t xml:space="preserve">Yim and Kira (1975)</w:t>
      </w:r>
      <w:r>
        <w:t xml:space="preserve"> </w:t>
      </w:r>
      <w:r>
        <w:t xml:space="preserve">first created vegetation forest map defined temperature and precipitations. This map then modified by</w:t>
      </w:r>
      <w:r>
        <w:t xml:space="preserve"> </w:t>
      </w:r>
      <w:r>
        <w:t xml:space="preserve">Yi and Kim (2010)</w:t>
      </w:r>
      <w:r>
        <w:t xml:space="preserve">. They divided South Korea, our research area, into three zones: Central Temperature Zone (CT), South Temperature Zone (ST), and Subtropical-warm Temperature Zone (SWT). We also used a map from</w:t>
      </w:r>
      <w:r>
        <w:t xml:space="preserve"> </w:t>
      </w:r>
      <w:r>
        <w:t xml:space="preserve">Lee et al. (2008)</w:t>
      </w:r>
      <w:r>
        <w:t xml:space="preserve">, which separated our research area into 16 different zones based geographical characteristics such as inland, coastal, major rivers, island, and major mountain ranges in addition to ecological information including temperature and precipitation. We only focused on 14 zones, excluding two islands that have no records of Paleolithic material culture: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It is acknowledged that modern eco-regional maps may not be suitable for studying the Paleolithic period directly, but they are the only maps of eco-regional seperation that are currently available to us.</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temporal or/and spatial patterns of TCSA range. If stemmed points represent a narrow TCSA range, then people likely produced tools that performed specific tasks. This may be related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w:t>
      </w:r>
      <w:r>
        <w:t xml:space="preserve"> </w:t>
      </w:r>
      <w:r>
        <w:t xml:space="preserve">(Bettinger and Grote, 2016; Bird and O’Connell, 2006; Kelly, 2007)</w:t>
      </w:r>
      <w:r>
        <w:t xml:space="preserve">. We expect to observe various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p>
      <w:pPr>
        <w:pStyle w:val="BodyText"/>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in this boxplot.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bookmarkEnd w:id="46"/>
    <w:bookmarkStart w:id="51" w:name="variation-in-tcsa-values-by-raw-material"/>
    <w:p>
      <w:pPr>
        <w:pStyle w:val="Heading2"/>
      </w:pPr>
      <w:r>
        <w:t xml:space="preserve">Variation in TCSA values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4322618"/>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TCSA values by lithic raw material.</w:t>
            </w:r>
          </w:p>
          <w:bookmarkEnd w:id="50"/>
        </w:tc>
      </w:tr>
    </w:tbl>
    <w:p>
      <w:pPr>
        <w:pStyle w:val="BodyText"/>
      </w:pP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60"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and it revealed three clusters of artifact sizes (A of</w:t>
      </w:r>
      <w:r>
        <w:t xml:space="preserve"> </w:t>
      </w:r>
      <w:hyperlink w:anchor="fig-artifact-size-cluster">
        <w:r>
          <w:rPr>
            <w:rStyle w:val="Hyperlink"/>
          </w:rPr>
          <w:t xml:space="preserve">Figure 5</w:t>
        </w:r>
      </w:hyperlink>
      <w:r>
        <w:t xml:space="preserve">, mean = 10.1, SD = 7.3). Cluster 1, the smallest (lightest) artifacts, have a lower range of TCSA values, compared to Cluster 2 (B of</w:t>
      </w:r>
      <w:r>
        <w:t xml:space="preserve"> </w:t>
      </w:r>
      <w:hyperlink w:anchor="fig-artifact-size-cluster">
        <w:r>
          <w:rPr>
            <w:rStyle w:val="Hyperlink"/>
          </w:rPr>
          <w:t xml:space="preserve">Figure 5</w:t>
        </w:r>
      </w:hyperlink>
      <w:r>
        <w:t xml:space="preserve">, mean = 94.5, SD = 42.8). TCSA values for Cluster 3 are the highest, except for one artifact, which is lower than 50. There are a few overlaps, but we can still assume that artifacts in different size clusters might be made for different purposes.</w:t>
      </w:r>
    </w:p>
    <w:tbl>
      <w:tblPr>
        <w:tblStyle w:val="Table"/>
        <w:tblW w:type="pct" w:w="5000"/>
        <w:tblLook w:firstRow="0" w:lastRow="0" w:firstColumn="0" w:lastColumn="0" w:noHBand="0" w:noVBand="0" w:val="0000"/>
      </w:tblPr>
      <w:tblGrid>
        <w:gridCol w:w="7920"/>
      </w:tblGrid>
      <w:tr>
        <w:tc>
          <w:tcPr/>
          <w:bookmarkStart w:id="55" w:name="fig-artifact-size-cluster"/>
          <w:p>
            <w:pPr>
              <w:pStyle w:val="Figure"/>
              <w:jc w:val="center"/>
            </w:pPr>
            <w:r>
              <w:drawing>
                <wp:inline>
                  <wp:extent cx="5943600" cy="2971800"/>
                  <wp:effectExtent b="0" l="0" r="0" t="0"/>
                  <wp:docPr descr="" title="" id="53" name="Picture"/>
                  <a:graphic>
                    <a:graphicData uri="http://schemas.openxmlformats.org/drawingml/2006/picture">
                      <pic:pic>
                        <pic:nvPicPr>
                          <pic:cNvPr descr="paper_files/figure-docx/fig-artifact-size-cluster-1.png" id="54" name="Picture"/>
                          <pic:cNvPicPr>
                            <a:picLocks noChangeArrowheads="1" noChangeAspect="1"/>
                          </pic:cNvPicPr>
                        </pic:nvPicPr>
                        <pic:blipFill>
                          <a:blip r:embed="rId52"/>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 Distribution of artifact weight showing three clusters. B. TCSA values for all artifacts with size classes indicated by data point shape.</w:t>
            </w:r>
          </w:p>
          <w:bookmarkEnd w:id="55"/>
        </w:tc>
      </w:tr>
    </w:tbl>
    <w:p>
      <w:pPr>
        <w:pStyle w:val="BodyText"/>
      </w:pPr>
      <w:hyperlink w:anchor="fig-tcsa-size">
        <w:r>
          <w:rPr>
            <w:rStyle w:val="Hyperlink"/>
          </w:rPr>
          <w:t xml:space="preserve">Figure 6</w:t>
        </w:r>
      </w:hyperlink>
      <w:r>
        <w:t xml:space="preserve"> </w:t>
      </w:r>
      <w:r>
        <w:t xml:space="preserve">shows a positive relationship between TCSA, artifact weight and raw material. We could observe variations by raw material types.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reconfirming that raw material appears not to have strongly influenced TCSA (see also</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r>
        <w:t xml:space="preserve">We arranged TCSA values of 26 assemblages in chronological order (</w:t>
      </w:r>
      <w:hyperlink w:anchor="fig-tcsa-radio-carbon">
        <w:r>
          <w:rPr>
            <w:rStyle w:val="Hyperlink"/>
          </w:rPr>
          <w:t xml:space="preserve">Figure 7</w:t>
        </w:r>
      </w:hyperlink>
      <w:r>
        <w:t xml:space="preserve"> </w:t>
      </w:r>
      <w:r>
        <w:t xml:space="preserve">panel A). Our analysis shows that earlier assemblages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p>
      <w:pPr>
        <w:pStyle w:val="BodyText"/>
      </w:pPr>
      <w:r>
        <w:t xml:space="preserve">We then grouped stemmed points into three categories based on LGM event: before, LGM, and after to examine possibility of environmental impact on the use of the artifacts (</w:t>
      </w:r>
      <w:hyperlink w:anchor="fig-tcsa-radio-carbon">
        <w:r>
          <w:rPr>
            <w:rStyle w:val="Hyperlink"/>
          </w:rPr>
          <w:t xml:space="preserve">Figure 7</w:t>
        </w:r>
      </w:hyperlink>
      <w:r>
        <w:t xml:space="preserve"> </w:t>
      </w:r>
      <w:r>
        <w:t xml:space="preserve">panel B). Our results shows that stemmed points were made predominantly before LGM and only a few left after LGM. Each category shows wide variation in LGM, which indicates diverse uses of stemmed points. There is no strong correlation between the TCSA values and the time period (</w:t>
      </w:r>
      <w:r>
        <w:rPr>
          <w:iCs/>
          <w:i/>
        </w:rPr>
        <w:t xml:space="preserve">F</w:t>
      </w:r>
      <w:r>
        <w:t xml:space="preserve">(2, 139) = 0.92,</w:t>
      </w:r>
      <w:r>
        <w:t xml:space="preserve"> </w:t>
      </w:r>
      <w:r>
        <w:rPr>
          <w:iCs/>
          <w:i/>
        </w:rPr>
        <w:t xml:space="preserve">p</w:t>
      </w:r>
      <w:r>
        <w:t xml:space="preserve"> </w:t>
      </w:r>
      <w:r>
        <w:t xml:space="preserve">= .400).</w:t>
      </w:r>
    </w:p>
    <w:bookmarkEnd w:id="65"/>
    <w:bookmarkStart w:id="74" w:name="spatial-patterns-of-tcsa-values"/>
    <w:p>
      <w:pPr>
        <w:pStyle w:val="Heading2"/>
      </w:pPr>
      <w:r>
        <w:t xml:space="preserve">Spatial patterns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We computed artifact TCSA values for 25 sites that contain more than 5 stemmed points to observe variation between sites (</w:t>
      </w:r>
      <w:hyperlink w:anchor="fig-tcsa-per-sites">
        <w:r>
          <w:rPr>
            <w:rStyle w:val="Hyperlink"/>
          </w:rPr>
          <w:t xml:space="preserve">Figure 8</w:t>
        </w:r>
      </w:hyperlink>
      <w:r>
        <w:t xml:space="preserve">) Sites with fewer than 5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 Yongsandong has the second most stemmed points and TCSA shows a similar distribution to Yongsakul.</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t xml:space="preserve">In order to explore spatial patterns as well as the relationship between the role of stemmed points and the environment, we located individual assemblages on maps that depict eco-regional boundaries. Our results show that stemmed points are only located in certain zones, Central Temperature Zone (CT) of vegetation map or Central inland (CI) (</w:t>
      </w:r>
      <w:hyperlink w:anchor="fig-gis-tcsa-sites">
        <w:r>
          <w:rPr>
            <w:rStyle w:val="Hyperlink"/>
          </w:rPr>
          <w:t xml:space="preserve">Figure 9</w:t>
        </w:r>
      </w:hyperlink>
      <w:r>
        <w:t xml:space="preserve"> </w:t>
      </w:r>
      <w:r>
        <w:t xml:space="preserve">panel A &amp; D) of eco-region map. We observed that TCSA values are strongely associated with the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To explore the TCSA distribution within the eco-regional zones, we excluded zones in the ecoregion map that have no stemmed points (</w:t>
      </w:r>
      <w:hyperlink w:anchor="fig-gis-tcsa-sites">
        <w:r>
          <w:rPr>
            <w:rStyle w:val="Hyperlink"/>
          </w:rPr>
          <w:t xml:space="preserve">Figure 9</w:t>
        </w:r>
      </w:hyperlink>
      <w:r>
        <w:t xml:space="preserve"> </w:t>
      </w:r>
      <w:r>
        <w:t xml:space="preserve">panel E). We found no clear distribution pattern throughout the zones, showing a wide variation in TCSA regardless of the density of stemmed point in each zone. For example, explored the six artifacts from South Temperature Zone (ST) to examine the gap of TCSA values among the artifacts (i.e. Three artifacts are over 175 while the other three are lower around or lower than 100.</w:t>
      </w:r>
      <w:r>
        <w:t xml:space="preserve"> </w:t>
      </w:r>
      <w:hyperlink w:anchor="fig-gis-tcsa-sites">
        <w:r>
          <w:rPr>
            <w:rStyle w:val="Hyperlink"/>
          </w:rPr>
          <w:t xml:space="preserve">Figure 9</w:t>
        </w:r>
      </w:hyperlink>
      <w:r>
        <w:t xml:space="preserve"> </w:t>
      </w:r>
      <w:r>
        <w:t xml:space="preserve">panel B). We observed two artifacts from Bonggok site with no age difference, both made out of rhyolite, have huge difference in TCSA values, indicating no pattern for TCSA variation.</w:t>
      </w:r>
    </w:p>
    <w:p>
      <w:pPr>
        <w:pStyle w:val="BodyText"/>
      </w:pPr>
      <w:r>
        <w:t xml:space="preserve">We then computed Tukey’s for comparison tests between the eco-regional zones. Our results show that ST and CT, and Subtropical-warm Temperature Zone (SWT)-ST have significantly different while SWT and CT are close to each other (</w:t>
      </w:r>
      <w:hyperlink w:anchor="fig-gis-tcsa-sites">
        <w:r>
          <w:rPr>
            <w:rStyle w:val="Hyperlink"/>
          </w:rPr>
          <w:t xml:space="preserve">Figure 9</w:t>
        </w:r>
      </w:hyperlink>
      <w:r>
        <w:t xml:space="preserve"> </w:t>
      </w:r>
      <w:r>
        <w:t xml:space="preserve">panel C). However, we found no significant difference within the zones of eco-region map (</w:t>
      </w:r>
      <w:hyperlink w:anchor="fig-gis-tcsa-sites">
        <w:r>
          <w:rPr>
            <w:rStyle w:val="Hyperlink"/>
          </w:rPr>
          <w:t xml:space="preserve">Figure 9</w:t>
        </w:r>
      </w:hyperlink>
      <w:r>
        <w:t xml:space="preserve"> </w:t>
      </w:r>
      <w:r>
        <w:t xml:space="preserve">panel F).</w:t>
      </w:r>
    </w:p>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but none of them have TCSA values in the range of poison arrow tips (</w:t>
      </w:r>
      <w:hyperlink w:anchor="fig-tcsa-all-sp">
        <w:r>
          <w:rPr>
            <w:rStyle w:val="Hyperlink"/>
          </w:rPr>
          <w:t xml:space="preserve">Figure 3</w:t>
        </w:r>
      </w:hyperlink>
      <w:r>
        <w:t xml:space="preserve">). But in general, we found a wide range of TCSA in our sample, indicating that stemmed points might play diverse roles in foraging toolkits. 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 observed no clear pattern for raw materials (</w:t>
      </w:r>
      <w:hyperlink w:anchor="fig-tcsa-raw-materials">
        <w:r>
          <w:rPr>
            <w:rStyle w:val="Hyperlink"/>
          </w:rPr>
          <w:t xml:space="preserve">Figure 4</w:t>
        </w:r>
      </w:hyperlink>
      <w:r>
        <w:t xml:space="preserve">) but weight (</w:t>
      </w:r>
      <w:hyperlink w:anchor="fig-artifact-size-cluster">
        <w:r>
          <w:rPr>
            <w:rStyle w:val="Hyperlink"/>
          </w:rPr>
          <w:t xml:space="preserve">Figure 5</w:t>
        </w:r>
      </w:hyperlink>
      <w:r>
        <w:t xml:space="preserve">), though weight is correlated with raw materials (</w:t>
      </w:r>
      <w:hyperlink w:anchor="fig-tcsa-size">
        <w:r>
          <w:rPr>
            <w:rStyle w:val="Hyperlink"/>
          </w:rPr>
          <w:t xml:space="preserve">Figure 6</w:t>
        </w:r>
      </w:hyperlink>
      <w:r>
        <w:t xml:space="preserve">). Therefore we could assume that raw materials also associated with TCSA value. We found that different clusters of weight are matched with different types of weapon tips (</w:t>
      </w:r>
      <w:hyperlink w:anchor="fig-artifact-size-cluster">
        <w:r>
          <w:rPr>
            <w:rStyle w:val="Hyperlink"/>
          </w:rPr>
          <w:t xml:space="preserve">Figure 5</w:t>
        </w:r>
      </w:hyperlink>
      <w:r>
        <w:t xml:space="preserve">). The TCSA varies from assemblages to assemblages without any discernible temporal pattern in functional use (</w:t>
      </w:r>
      <w:hyperlink w:anchor="fig-tcsa-radio-carbon">
        <w:r>
          <w:rPr>
            <w:rStyle w:val="Hyperlink"/>
          </w:rPr>
          <w:t xml:space="preserve">Figure 7</w:t>
        </w:r>
      </w:hyperlink>
      <w:r>
        <w:t xml:space="preserve"> </w:t>
      </w:r>
      <w:r>
        <w:t xml:space="preserve">panel A). But the stemmed points mainly used before LGM (</w:t>
      </w:r>
      <w:hyperlink w:anchor="fig-tcsa-radio-carbon">
        <w:r>
          <w:rPr>
            <w:rStyle w:val="Hyperlink"/>
          </w:rPr>
          <w:t xml:space="preserve">Figure 7</w:t>
        </w:r>
      </w:hyperlink>
      <w:r>
        <w:t xml:space="preserve"> </w:t>
      </w:r>
      <w:r>
        <w:t xml:space="preserve">panel B). We found that stemmed points are only located in certain eco-regional zones such as Central Temperature zone without any clear pattern in function (</w:t>
      </w:r>
      <w:hyperlink w:anchor="fig-gis-tcsa-sites">
        <w:r>
          <w:rPr>
            <w:rStyle w:val="Hyperlink"/>
          </w:rPr>
          <w:t xml:space="preserve">Figure 9</w:t>
        </w:r>
      </w:hyperlink>
      <w:r>
        <w:t xml:space="preserve">). Both temporal and spatial analyses show that stemmed points were made for a particular environment, not so much harsh as LGM.</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Our results support this claim by showing the dense distribution of stemmed point in certain environment.</w:t>
      </w:r>
    </w:p>
    <w:p>
      <w:pPr>
        <w:pStyle w:val="BodyText"/>
      </w:pPr>
      <w:r>
        <w:t xml:space="preserve">Our models premise that the choice of weapon-tip types reflects the socio-environmental circumstances. To examine the possible connections between the roles of stemmed points and environmental change or population dynamics during the Late Paleolithic period, we compared the temporal and spatial patterns of TCSA to results of simulated Mean Annual Temperature (MAT) and Summed probability distribution (SPD) from</w:t>
      </w:r>
      <w:r>
        <w:t xml:space="preserve"> </w:t>
      </w:r>
      <w:r>
        <w:t xml:space="preserve">Park and Marwick (2022)</w:t>
      </w:r>
      <w:r>
        <w:t xml:space="preserve">. The simulated temperature distribution in south Korea during the Late Paleolithic period (Figure 9: A from</w:t>
      </w:r>
      <w:r>
        <w:t xml:space="preserve"> </w:t>
      </w:r>
      <w:r>
        <w:t xml:space="preserve">Park and Marwick (2022)</w:t>
      </w:r>
      <w:r>
        <w:t xml:space="preserve">) seems similar to the modern eco-regional zones that we used in this research (</w:t>
      </w:r>
      <w:hyperlink w:anchor="fig-gis-tcsa-sites">
        <w:r>
          <w:rPr>
            <w:rStyle w:val="Hyperlink"/>
          </w:rPr>
          <w:t xml:space="preserve">Figure 9</w:t>
        </w:r>
      </w:hyperlink>
      <w:r>
        <w:t xml:space="preserve"> </w:t>
      </w:r>
      <w:r>
        <w:t xml:space="preserve">panel A &amp; D). Figure 9: C from</w:t>
      </w:r>
      <w:r>
        <w:t xml:space="preserve"> </w:t>
      </w:r>
      <w:r>
        <w:t xml:space="preserve">Park and Marwick (2022)</w:t>
      </w:r>
      <w:r>
        <w:t xml:space="preserve"> </w:t>
      </w:r>
      <w:r>
        <w:t xml:space="preserve">shows the slow decrease of temperature until the end of LGM, which could explain our results of temporal pattern, meaning stemmed points were used during the cooler environment with a temperature between 4 and 6 ℃. Results of SPD (Figure 10 from</w:t>
      </w:r>
      <w:r>
        <w:t xml:space="preserve"> </w:t>
      </w:r>
      <w:r>
        <w:t xml:space="preserve">Park and Marwick (2022)</w:t>
      </w:r>
      <w:r>
        <w:t xml:space="preserve">) show several peaks, as indicated by the positive deviations from the three null models (shaded in red), and downs (shaded in blue), but no drastic growth or decline during our research period, indicating no major impact from population dynamics on stemmed points.</w:t>
      </w:r>
    </w:p>
    <w:p>
      <w:pPr>
        <w:pStyle w:val="BodyText"/>
      </w:pPr>
      <w:r>
        <w:t xml:space="preserve">Overall, our temporal and spatial patterns of TCSA show a wide TCSA range throughout the Late Paleolithic period and between eco-regional zones. Especially, we confirmed the widest TCSA range in a single site, Suyanggae (</w:t>
      </w:r>
      <w:hyperlink w:anchor="fig-tcsa-per-sites">
        <w:r>
          <w:rPr>
            <w:rStyle w:val="Hyperlink"/>
          </w:rPr>
          <w:t xml:space="preserve">Figure 8</w:t>
        </w:r>
      </w:hyperlink>
      <w:r>
        <w:t xml:space="preserve">). As a consequence, our results are consistent with our second model in which stemmed points are described as multifunctional tools, suggesting that people created stemmed points in response to unexpected or varying circumstances in their habitats, similar to Clovis points (</w:t>
      </w:r>
      <w:r>
        <w:t xml:space="preserve">Eren et al. (2022)</w:t>
      </w:r>
      <w:r>
        <w:t xml:space="preserve">).</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stemmed points used for?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Based on the evolutionary approach, we premised that the way of using stemmed points is likely to reflect the socio-environmental circumstances that people encountered and managed. We examined the possible impact of LGM on stemmed points and their distribution on eco-regional maps.</w:t>
      </w:r>
    </w:p>
    <w:p>
      <w:pPr>
        <w:pStyle w:val="BodyText"/>
      </w:pPr>
      <w:r>
        <w:t xml:space="preserve">According to the different weapon-delivery systems that summarize TCSA of projectile points from archaeological and ethnographic cases, a majority of stemmed points might be used the most likely as javelin tips and stabbing spear tips. In general, though, we noted a wide range and also differing distribution of TCSA in each assemblage. Therefore, we conclude that stemmed points might play diverse roles during the Late Paleolithic. From our findings, we infer that people were exposed to an unfamiliar situation and used a stemmed point as a multifunctional tool to carry out multiple tasks. We are aware that discriminating the likely use of small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4" w:name="references"/>
    <w:p>
      <w:pPr>
        <w:pStyle w:val="Heading1"/>
      </w:pPr>
      <w:r>
        <w:t xml:space="preserve">References</w:t>
      </w:r>
    </w:p>
    <w:bookmarkStart w:id="142"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core2021team"/>
    <w:p>
      <w:pPr>
        <w:pStyle w:val="Bibliography"/>
      </w:pPr>
      <w:r>
        <w:t xml:space="preserve">Core, R., 2021. Team. R: A language and environment for statistical computing, 2015.</w:t>
      </w:r>
    </w:p>
    <w:bookmarkEnd w:id="90"/>
    <w:bookmarkStart w:id="91" w:name="ref-eren2022plains"/>
    <w:p>
      <w:pPr>
        <w:pStyle w:val="Bibliography"/>
      </w:pPr>
      <w:r>
        <w:t xml:space="preserve">Eren, M.I., Bebber, M.R., Knell, E.J., Story, B., Buchanan, B., 2022. Plains paleoindian projectile point penetration potential. Journal of Anthropological Research 78, 84–112.</w:t>
      </w:r>
    </w:p>
    <w:bookmarkEnd w:id="91"/>
    <w:bookmarkStart w:id="92" w:name="ref-erlandson2014darts"/>
    <w:p>
      <w:pPr>
        <w:pStyle w:val="Bibliography"/>
      </w:pPr>
      <w:r>
        <w:t xml:space="preserve">Erlandson, J.M., Watts, J.L., Jew, N.P., 2014. Darts, arrows, and archaeologists: Distinguishing dart and arrow points in the archaeological record. American Antiquity 79, 162–169.</w:t>
      </w:r>
    </w:p>
    <w:bookmarkEnd w:id="92"/>
    <w:bookmarkStart w:id="93" w:name="ref-fenenga1953weights"/>
    <w:p>
      <w:pPr>
        <w:pStyle w:val="Bibliography"/>
      </w:pPr>
      <w:r>
        <w:t xml:space="preserve">Fenenga, F., 1953. The weights of chipped stone points: A clue to their functions. Southwestern Journal of Anthropology 9, 309–323.</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1"/>
    <w:bookmarkStart w:id="112" w:name="ref-lombard2020tip"/>
    <w:p>
      <w:pPr>
        <w:pStyle w:val="Bibliography"/>
      </w:pPr>
      <w:r>
        <w:t xml:space="preserve">Lombard, M., 2020. The tip cross-sectional areas of poisoned bone arrowheads from southern africa. Journal of Archaeological Science: Reports 33, 102477.</w:t>
      </w:r>
    </w:p>
    <w:bookmarkEnd w:id="112"/>
    <w:bookmarkStart w:id="113" w:name="ref-lombard2022tip"/>
    <w:p>
      <w:pPr>
        <w:pStyle w:val="Bibliography"/>
      </w:pPr>
      <w:r>
        <w:t xml:space="preserve">Lombard, M., Lotter, M.G., Caruana, M.V., 2022. The tip cross-sectional area (TCSA) method strengthened and constrained with ethno-historical material from sub-saharan africa.</w:t>
      </w:r>
    </w:p>
    <w:bookmarkEnd w:id="113"/>
    <w:bookmarkStart w:id="114" w:name="ref-lombard2021did"/>
    <w:p>
      <w:pPr>
        <w:pStyle w:val="Bibliography"/>
      </w:pPr>
      <w:r>
        <w:t xml:space="preserve">Lombard, M., Shea, J.J., 2021. Did pleistocene africans use the spearthrower-and-dart? Evolutionary Anthropology: Issues, News, and Reviews 30, 307–315.</w:t>
      </w:r>
    </w:p>
    <w:bookmarkEnd w:id="114"/>
    <w:bookmarkStart w:id="11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5"/>
    <w:bookmarkStart w:id="116"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6"/>
    <w:bookmarkStart w:id="117"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7"/>
    <w:bookmarkStart w:id="118" w:name="ref-o2018origins"/>
    <w:p>
      <w:pPr>
        <w:pStyle w:val="Bibliography"/>
      </w:pPr>
      <w:r>
        <w:t xml:space="preserve">O’Driscoll, C.A., Thompson, J.C., 2018. The origins and early elaboration of projectile technology. Evolutionary Anthropology: Issues, News, and Reviews 27, 30–45.</w:t>
      </w:r>
    </w:p>
    <w:bookmarkEnd w:id="118"/>
    <w:bookmarkStart w:id="119" w:name="ref-Park_2013"/>
    <w:p>
      <w:pPr>
        <w:pStyle w:val="Bibliography"/>
      </w:pPr>
      <w:r>
        <w:t xml:space="preserve">Park, G., 2013. A study on the stemmed points of the late paleolithic in the korean peninsula. Yeongnam Archaeological Review 64, 39–69.</w:t>
      </w:r>
    </w:p>
    <w:bookmarkEnd w:id="119"/>
    <w:bookmarkStart w:id="12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0"/>
    <w:bookmarkStart w:id="121"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1"/>
    <w:bookmarkStart w:id="122" w:name="ref-pratt2020circum"/>
    <w:p>
      <w:pPr>
        <w:pStyle w:val="Bibliography"/>
      </w:pPr>
      <w:r>
        <w:t xml:space="preserve">Pratt, J., Goebel, T., Graf, K., Izuho, M., 2020. A circum-pacific perspective on the origin of stemmed points in north america. PaleoAmerica 6, 64–108.</w:t>
      </w:r>
    </w:p>
    <w:bookmarkEnd w:id="122"/>
    <w:bookmarkStart w:id="123" w:name="ref-rorabaugh2015timing"/>
    <w:p>
      <w:pPr>
        <w:pStyle w:val="Bibliography"/>
      </w:pPr>
      <w:r>
        <w:t xml:space="preserve">Rorabaugh, A.N., Fulkerson, T.J., 2015. Timing of the introduction of arrow technologies in the salish sea, northwest north america. Lithic Technology 40, 21–39.</w:t>
      </w:r>
    </w:p>
    <w:bookmarkEnd w:id="123"/>
    <w:bookmarkStart w:id="124" w:name="ref-sahle2019assessment"/>
    <w:p>
      <w:pPr>
        <w:pStyle w:val="Bibliography"/>
      </w:pPr>
      <w:r>
        <w:t xml:space="preserve">Sahle, Y., Brooks, A.S., 2019. Assessment of complex projectiles in the early late pleistocene at aduma, ethiopia. Plos one 14, e0216716.</w:t>
      </w:r>
    </w:p>
    <w:bookmarkEnd w:id="124"/>
    <w:bookmarkStart w:id="125" w:name="ref-sano2015backed"/>
    <w:p>
      <w:pPr>
        <w:pStyle w:val="Bibliography"/>
      </w:pPr>
      <w:r>
        <w:t xml:space="preserve">Sano, K., Oba, M., 2015. Backed point experiments for identifying mechanically-delivered armatures. Journal of archaeological science 63, 13–23.</w:t>
      </w:r>
    </w:p>
    <w:bookmarkEnd w:id="125"/>
    <w:bookmarkStart w:id="126" w:name="ref-seong2015diversity"/>
    <w:p>
      <w:pPr>
        <w:pStyle w:val="Bibliography"/>
      </w:pPr>
      <w:r>
        <w:t xml:space="preserve">Seong, C., 2015. Diversity of lithic assemblages and evolution of late palaeolithic culture in korea. Asian Perspectives 91–112.</w:t>
      </w:r>
    </w:p>
    <w:bookmarkEnd w:id="126"/>
    <w:bookmarkStart w:id="127" w:name="ref-seong2009emergence"/>
    <w:p>
      <w:pPr>
        <w:pStyle w:val="Bibliography"/>
      </w:pPr>
      <w:r>
        <w:t xml:space="preserve">Seong, C., 2009. Emergence of a blade industry and evolution of late paleolithic technology in the republic of korea. Journal of Anthropological Research 65, 417–451.</w:t>
      </w:r>
    </w:p>
    <w:bookmarkEnd w:id="127"/>
    <w:bookmarkStart w:id="128" w:name="ref-seong2008tanged"/>
    <w:p>
      <w:pPr>
        <w:pStyle w:val="Bibliography"/>
      </w:pPr>
      <w:r>
        <w:t xml:space="preserve">Seong, C., 2008. Tanged points, microblades and late palaeolithic hunting in korea. Antiquity 82, 871–883.</w:t>
      </w:r>
    </w:p>
    <w:bookmarkEnd w:id="128"/>
    <w:bookmarkStart w:id="129" w:name="ref-seong2004quartzite"/>
    <w:p>
      <w:pPr>
        <w:pStyle w:val="Bibliography"/>
      </w:pPr>
      <w:r>
        <w:t xml:space="preserve">Seong, C., 2004. Quartzite and vein quartz as lithic raw materials reconsidered: A view from the korean paleolithic. Asian Perspectives 73–91.</w:t>
      </w:r>
    </w:p>
    <w:bookmarkEnd w:id="129"/>
    <w:bookmarkStart w:id="130" w:name="ref-seong2016eastern"/>
    <w:p>
      <w:pPr>
        <w:pStyle w:val="Bibliography"/>
      </w:pPr>
      <w:r>
        <w:t xml:space="preserve">Seong, C., Bae, C.J., 2016. The eastern asian ‘middle palaeolithic’revisited: A view from korea. Antiquity 90, 1151–1165.</w:t>
      </w:r>
    </w:p>
    <w:bookmarkEnd w:id="130"/>
    <w:bookmarkStart w:id="131" w:name="ref-shea2009impact"/>
    <w:p>
      <w:pPr>
        <w:pStyle w:val="Bibliography"/>
      </w:pPr>
      <w:r>
        <w:t xml:space="preserve">Shea, J.J., 2009. The impact of projectile weaponry on late pleistocene hominin evolution, in: The Evolution of Hominin Diets. Springer, pp. 189–199.</w:t>
      </w:r>
    </w:p>
    <w:bookmarkEnd w:id="131"/>
    <w:bookmarkStart w:id="132" w:name="ref-shea2006origins"/>
    <w:p>
      <w:pPr>
        <w:pStyle w:val="Bibliography"/>
      </w:pPr>
      <w:r>
        <w:t xml:space="preserve">Shea, J.J., 2006. The origins of lithic projectile point technology: Evidence from africa, the levant, and europe. Journal of Archaeological Science 33, 823–846.</w:t>
      </w:r>
    </w:p>
    <w:bookmarkEnd w:id="132"/>
    <w:bookmarkStart w:id="133"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3"/>
    <w:bookmarkStart w:id="134" w:name="ref-sitton2020tip"/>
    <w:p>
      <w:pPr>
        <w:pStyle w:val="Bibliography"/>
      </w:pPr>
      <w:r>
        <w:t xml:space="preserve">Sitton, J., Story, B., Buchanan, B., Eren, M.I., 2020. Tip cross-sectional geometry predicts the penetration depth of stone-tipped projectiles. Scientific Reports 10, 1–9.</w:t>
      </w:r>
    </w:p>
    <w:bookmarkEnd w:id="134"/>
    <w:bookmarkStart w:id="135" w:name="ref-Sohn_1967"/>
    <w:p>
      <w:pPr>
        <w:pStyle w:val="Bibliography"/>
      </w:pPr>
      <w:r>
        <w:t xml:space="preserve">Sohn, P., 1967. Seokjang-ri paleolithic culture. Yeoksahakbo 379–397.</w:t>
      </w:r>
    </w:p>
    <w:bookmarkEnd w:id="135"/>
    <w:bookmarkStart w:id="136" w:name="ref-song2020efficient"/>
    <w:p>
      <w:pPr>
        <w:pStyle w:val="Bibliography"/>
      </w:pPr>
      <w:r>
        <w:t xml:space="preserve">Song, M., Zhong, H., 2020. Efficient weighted univariate clustering maps outstanding dysregulated genomic zones in human cancers. Bioinformatics 36, 5027–5036.</w:t>
      </w:r>
    </w:p>
    <w:bookmarkEnd w:id="136"/>
    <w:bookmarkStart w:id="137" w:name="ref-thomas1978arrowheads"/>
    <w:p>
      <w:pPr>
        <w:pStyle w:val="Bibliography"/>
      </w:pPr>
      <w:r>
        <w:t xml:space="preserve">Thomas, D.H., 1978. Arrowheads and atlatl darts: How the stones got the shaft. American antiquity 43, 461–472.</w:t>
      </w:r>
    </w:p>
    <w:bookmarkEnd w:id="137"/>
    <w:bookmarkStart w:id="138" w:name="ref-wadley2008segment"/>
    <w:p>
      <w:pPr>
        <w:pStyle w:val="Bibliography"/>
      </w:pPr>
      <w:r>
        <w:t xml:space="preserve">Wadley, L., Mohapi, M., 2008. A segment is not a monolith: Evidence from the howiesons poort of sibudu, south africa. Journal of Archaeological Science 35, 2594–2605.</w:t>
      </w:r>
    </w:p>
    <w:bookmarkEnd w:id="138"/>
    <w:bookmarkStart w:id="139" w:name="ref-wang2011ckmeans"/>
    <w:p>
      <w:pPr>
        <w:pStyle w:val="Bibliography"/>
      </w:pPr>
      <w:r>
        <w:t xml:space="preserve">Wang, H., Song, M., 2011. Ckmeans. 1d. Dp: Optimal k-means clustering in one dimension by dynamic programming. The R journal 3, 29.</w:t>
      </w:r>
    </w:p>
    <w:bookmarkEnd w:id="139"/>
    <w:bookmarkStart w:id="140" w:name="ref-yi2010vegetation"/>
    <w:p>
      <w:pPr>
        <w:pStyle w:val="Bibliography"/>
      </w:pPr>
      <w:r>
        <w:t xml:space="preserve">Yi, S., Kim, S.-J., 2010. Vegetation changes in western central region of korean peninsula during the last glacial (ca. 21.1–26.1 cal kyr BP). Geosciences Journal 14, 1–10.</w:t>
      </w:r>
    </w:p>
    <w:bookmarkEnd w:id="140"/>
    <w:bookmarkStart w:id="141"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1"/>
    <w:bookmarkEnd w:id="142"/>
    <w:p>
      <w:r>
        <w:br w:type="page"/>
      </w:r>
    </w:p>
    <w:bookmarkStart w:id="143" w:name="colophon"/>
    <w:p>
      <w:pPr>
        <w:pStyle w:val="Heading3"/>
      </w:pPr>
      <w:r>
        <w:t xml:space="preserve">Colophon</w:t>
      </w:r>
    </w:p>
    <w:p>
      <w:pPr>
        <w:pStyle w:val="FirstParagraph"/>
      </w:pPr>
      <w:r>
        <w:t xml:space="preserve">This report was generated on 2023-01-20 07:59:10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2023-01-20</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1.0.2       2022-12-15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2.3.0       2023-01-16 [1] CRAN (R 4.2.0)</w:t>
      </w:r>
      <w:r>
        <w:br/>
      </w:r>
      <w:r>
        <w:rPr>
          <w:rStyle w:val="VerbatimChar"/>
        </w:rPr>
        <w:t xml:space="preserve"> devtools        2.4.5       2022-10-11 [1] CRAN (R 4.2.0)</w:t>
      </w:r>
      <w:r>
        <w:br/>
      </w:r>
      <w:r>
        <w:rPr>
          <w:rStyle w:val="VerbatimChar"/>
        </w:rPr>
        <w:t xml:space="preserve"> digest          0.6.31      2022-12-11 [1] CRAN (R 4.2.2)</w:t>
      </w:r>
      <w:r>
        <w:br/>
      </w:r>
      <w:r>
        <w:rPr>
          <w:rStyle w:val="VerbatimChar"/>
        </w:rPr>
        <w:t xml:space="preserve"> dplyr         * 1.0.99.9000 2022-12-03 [1] Github (tidyverse/dplyr@367a1fa)</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0.8-84      2022-12-06 [1] CRAN (R 4.2.0)</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0.8.0.9000  2022-11-28 [1] Github (rstudio/gt@f916280)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highr           0.10        2022-12-22 [1] CRAN (R 4.2.0)</w:t>
      </w:r>
      <w:r>
        <w:br/>
      </w:r>
      <w:r>
        <w:rPr>
          <w:rStyle w:val="VerbatimChar"/>
        </w:rPr>
        <w:t xml:space="preserve"> hms             1.1.2       2022-08-19 [1] CRAN (R 4.2.0)</w:t>
      </w:r>
      <w:r>
        <w:br/>
      </w:r>
      <w:r>
        <w:rPr>
          <w:rStyle w:val="VerbatimChar"/>
        </w:rPr>
        <w:t xml:space="preserve"> htmltools       0.5.4       2022-12-07 [1] CRAN (R 4.2.2)</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4.2.2)</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3.1-161     2022-12-15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1.6-4       2023-01-12 [1] CRAN (R 4.2.0)</w:t>
      </w:r>
      <w:r>
        <w:br/>
      </w:r>
      <w:r>
        <w:rPr>
          <w:rStyle w:val="VerbatimChar"/>
        </w:rPr>
        <w:t xml:space="preserve"> rgeos           0.6-1       2022-12-14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4.2.2)</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1.6-53      2023-01-17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0.36        2022-12-21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[9f0f466] 2022-12-03: merge conflict</w:t>
      </w:r>
    </w:p>
    <w:bookmarkEnd w:id="143"/>
    <w:bookmarkEnd w:id="14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52" Target="media/rId52.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2023-01-20T15:59:13Z</dcterms:created>
  <dcterms:modified xsi:type="dcterms:W3CDTF">2023-01-20T15:59:13Z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likely used as javelin tips and stabbing spear tips, with smaller numbers as dart tips and un-poisoned arrow tips.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SP were mainly used before Last Glacial Maximum (LGM). We observed that stemmed points was only located in certain ecoregions in Korea but no clear functional pattern is confirmed. We conclude that stemmed points were multi-functional tools, with many likely designed for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January 20,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